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6420" w14:textId="77777777" w:rsidR="003A61FB" w:rsidRDefault="00941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14:paraId="3A38CDB5" w14:textId="77777777" w:rsidR="003A61FB" w:rsidRDefault="009415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проекту Решения Муниципального Совета</w:t>
      </w:r>
    </w:p>
    <w:p w14:paraId="3038676E" w14:textId="77777777" w:rsidR="003A61FB" w:rsidRDefault="009415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внесении изменений в Решение № 34 от 24.12.2020 г.</w:t>
      </w:r>
    </w:p>
    <w:p w14:paraId="7EE4B628" w14:textId="77777777" w:rsidR="003A61FB" w:rsidRDefault="009415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бюджете внутригородского муниципального образования</w:t>
      </w:r>
    </w:p>
    <w:p w14:paraId="272D1C83" w14:textId="77777777" w:rsidR="003A61FB" w:rsidRDefault="009415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2021 год»</w:t>
      </w:r>
    </w:p>
    <w:p w14:paraId="08AB8A5C" w14:textId="77777777" w:rsidR="003A61FB" w:rsidRDefault="003A61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7E7AAD0" w14:textId="37C2F008" w:rsidR="003A61FB" w:rsidRDefault="00941543" w:rsidP="0094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 xml:space="preserve">Решения Муниципального Совета «О внесении изменений в Решение </w:t>
      </w:r>
      <w:r>
        <w:rPr>
          <w:rFonts w:ascii="Times New Roman" w:hAnsi="Times New Roman" w:cs="Times New Roman"/>
          <w:sz w:val="26"/>
          <w:szCs w:val="26"/>
        </w:rPr>
        <w:t>от 24.12.2020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34 </w:t>
      </w:r>
      <w:r>
        <w:rPr>
          <w:rFonts w:ascii="Times New Roman" w:hAnsi="Times New Roman" w:cs="Times New Roman"/>
          <w:sz w:val="26"/>
          <w:szCs w:val="26"/>
        </w:rPr>
        <w:t xml:space="preserve">«О бюджете внутригородского муниципального образования Санкт-Петербурга муниципальный округ Светлановское на 2021 год» разработан в соответствии со следующими нормативными </w:t>
      </w:r>
      <w:r>
        <w:rPr>
          <w:rFonts w:ascii="Times New Roman" w:hAnsi="Times New Roman" w:cs="Times New Roman"/>
          <w:sz w:val="26"/>
          <w:szCs w:val="26"/>
        </w:rPr>
        <w:t>актами:</w:t>
      </w:r>
    </w:p>
    <w:p w14:paraId="4D90BAAA" w14:textId="77777777" w:rsidR="003A61FB" w:rsidRDefault="0094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бюджетный кодекс Российской Федерации;</w:t>
      </w:r>
    </w:p>
    <w:p w14:paraId="4455E213" w14:textId="44066B11" w:rsidR="003A61FB" w:rsidRDefault="0094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 Минфина России от 06.06.2019 N 85н (ред. от 16.11.2020) «</w:t>
      </w:r>
      <w:r>
        <w:rPr>
          <w:rFonts w:ascii="Times New Roman" w:hAnsi="Times New Roman" w:cs="Times New Roman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DCED655" w14:textId="77777777" w:rsidR="003A61FB" w:rsidRDefault="0094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МО</w:t>
      </w:r>
      <w:r>
        <w:rPr>
          <w:rFonts w:ascii="Times New Roman" w:hAnsi="Times New Roman" w:cs="Times New Roman"/>
          <w:sz w:val="26"/>
          <w:szCs w:val="26"/>
        </w:rPr>
        <w:t xml:space="preserve"> Светлановское предлагает внести следующие изменения:</w:t>
      </w:r>
    </w:p>
    <w:p w14:paraId="73015624" w14:textId="77777777" w:rsidR="003A61FB" w:rsidRDefault="003A61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528610" w14:textId="454656FF" w:rsidR="003A61FB" w:rsidRDefault="00941543" w:rsidP="00941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ДОХОДЫ БЮДЖЕТА</w:t>
      </w:r>
    </w:p>
    <w:p w14:paraId="36845D16" w14:textId="77777777" w:rsidR="00941543" w:rsidRDefault="00941543" w:rsidP="00941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9EDC558" w14:textId="77777777" w:rsidR="003A61FB" w:rsidRDefault="0094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В соответствии с фактически полученными на 01.11.2021 года доходами в бюджет муниципального образования необходимо увеличение ранее запланированных доходов по следующим кодам бюджетно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 классификации:</w:t>
      </w:r>
    </w:p>
    <w:p w14:paraId="51B876EB" w14:textId="77777777" w:rsidR="003A61FB" w:rsidRDefault="003A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969"/>
        <w:gridCol w:w="3093"/>
        <w:gridCol w:w="1526"/>
        <w:gridCol w:w="1983"/>
      </w:tblGrid>
      <w:tr w:rsidR="003A61FB" w14:paraId="6750FA53" w14:textId="77777777" w:rsidTr="00941543">
        <w:tc>
          <w:tcPr>
            <w:tcW w:w="1551" w:type="pct"/>
          </w:tcPr>
          <w:p w14:paraId="2CB6E6D2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КБК</w:t>
            </w:r>
          </w:p>
        </w:tc>
        <w:tc>
          <w:tcPr>
            <w:tcW w:w="1616" w:type="pct"/>
          </w:tcPr>
          <w:p w14:paraId="7FC1CAC5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97" w:type="pct"/>
          </w:tcPr>
          <w:p w14:paraId="488CE885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Сумма, тыс. руб.</w:t>
            </w:r>
          </w:p>
        </w:tc>
        <w:tc>
          <w:tcPr>
            <w:tcW w:w="1036" w:type="pct"/>
          </w:tcPr>
          <w:p w14:paraId="60C10105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Примечание</w:t>
            </w:r>
          </w:p>
        </w:tc>
      </w:tr>
      <w:tr w:rsidR="003A61FB" w14:paraId="1F646639" w14:textId="77777777" w:rsidTr="00941543">
        <w:tc>
          <w:tcPr>
            <w:tcW w:w="1551" w:type="pct"/>
          </w:tcPr>
          <w:p w14:paraId="28A0365E" w14:textId="77777777" w:rsidR="003A61FB" w:rsidRDefault="00941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867 1 13 02993 03 0100 130</w:t>
            </w:r>
          </w:p>
        </w:tc>
        <w:tc>
          <w:tcPr>
            <w:tcW w:w="1616" w:type="pct"/>
          </w:tcPr>
          <w:p w14:paraId="2552836D" w14:textId="77777777" w:rsidR="003A61FB" w:rsidRDefault="00941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Средства, составляющие восстановительную стоимость зеленых насаждений общего пользования местного значения и подлежащие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зачислению  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внутригородских муниципальных образований Санкт-Петербурга в соответствии с законодательством Санкт-Петербурга</w:t>
            </w:r>
          </w:p>
          <w:p w14:paraId="6988A6D1" w14:textId="77777777" w:rsidR="003A61FB" w:rsidRDefault="003A61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7" w:type="pct"/>
          </w:tcPr>
          <w:p w14:paraId="3A747EEF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+187,6</w:t>
            </w:r>
          </w:p>
        </w:tc>
        <w:tc>
          <w:tcPr>
            <w:tcW w:w="1036" w:type="pct"/>
          </w:tcPr>
          <w:p w14:paraId="404EE558" w14:textId="202F8BEF" w:rsidR="00941543" w:rsidRDefault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поступление</w:t>
            </w:r>
          </w:p>
          <w:p w14:paraId="22367CF4" w14:textId="5B1802B3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61FB" w14:paraId="087D12A2" w14:textId="77777777" w:rsidTr="00941543">
        <w:tc>
          <w:tcPr>
            <w:tcW w:w="1551" w:type="pct"/>
            <w:tcBorders>
              <w:top w:val="nil"/>
            </w:tcBorders>
          </w:tcPr>
          <w:p w14:paraId="69B25A6B" w14:textId="77777777" w:rsidR="003A61FB" w:rsidRDefault="009415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913 1 13 02993 03 0200 130</w:t>
            </w:r>
          </w:p>
        </w:tc>
        <w:tc>
          <w:tcPr>
            <w:tcW w:w="1616" w:type="pct"/>
            <w:tcBorders>
              <w:top w:val="nil"/>
            </w:tcBorders>
          </w:tcPr>
          <w:p w14:paraId="7A43A02C" w14:textId="77777777" w:rsidR="003A61FB" w:rsidRDefault="00941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Другие виды прочих доходов от компенсации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 бюджетов внутригородских муниципальных образований Санкт-Петербурга</w:t>
            </w:r>
          </w:p>
          <w:p w14:paraId="0F64A801" w14:textId="77777777" w:rsidR="003A61FB" w:rsidRDefault="003A61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7" w:type="pct"/>
            <w:tcBorders>
              <w:top w:val="nil"/>
            </w:tcBorders>
          </w:tcPr>
          <w:p w14:paraId="238DF71F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+50,1</w:t>
            </w:r>
          </w:p>
        </w:tc>
        <w:tc>
          <w:tcPr>
            <w:tcW w:w="1036" w:type="pct"/>
            <w:tcBorders>
              <w:top w:val="nil"/>
            </w:tcBorders>
          </w:tcPr>
          <w:p w14:paraId="3B5C409C" w14:textId="77777777" w:rsidR="00941543" w:rsidRDefault="00941543" w:rsidP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поступление</w:t>
            </w:r>
          </w:p>
          <w:p w14:paraId="184E220D" w14:textId="1A4DF27C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61FB" w14:paraId="2D28E335" w14:textId="77777777" w:rsidTr="00941543">
        <w:tc>
          <w:tcPr>
            <w:tcW w:w="1551" w:type="pct"/>
            <w:tcBorders>
              <w:top w:val="nil"/>
            </w:tcBorders>
          </w:tcPr>
          <w:p w14:paraId="41409663" w14:textId="77777777" w:rsidR="003A61FB" w:rsidRDefault="009415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182 1 16 10123 01 0031 140</w:t>
            </w:r>
          </w:p>
        </w:tc>
        <w:tc>
          <w:tcPr>
            <w:tcW w:w="1616" w:type="pct"/>
            <w:tcBorders>
              <w:top w:val="nil"/>
            </w:tcBorders>
          </w:tcPr>
          <w:p w14:paraId="65D61D05" w14:textId="77777777" w:rsidR="003A61FB" w:rsidRDefault="00941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денежных взысканий (штрафов), поступающие в счет погашения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образований)</w:t>
            </w:r>
          </w:p>
        </w:tc>
        <w:tc>
          <w:tcPr>
            <w:tcW w:w="797" w:type="pct"/>
            <w:tcBorders>
              <w:top w:val="nil"/>
            </w:tcBorders>
          </w:tcPr>
          <w:p w14:paraId="6224267A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+ 8,6</w:t>
            </w:r>
          </w:p>
        </w:tc>
        <w:tc>
          <w:tcPr>
            <w:tcW w:w="1036" w:type="pct"/>
            <w:tcBorders>
              <w:top w:val="nil"/>
            </w:tcBorders>
          </w:tcPr>
          <w:p w14:paraId="4E34E987" w14:textId="77777777" w:rsidR="00941543" w:rsidRDefault="00941543" w:rsidP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поступление</w:t>
            </w:r>
          </w:p>
          <w:p w14:paraId="1FE4F21C" w14:textId="5D277809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61FB" w14:paraId="3DB85044" w14:textId="77777777" w:rsidTr="00941543">
        <w:tc>
          <w:tcPr>
            <w:tcW w:w="1551" w:type="pct"/>
          </w:tcPr>
          <w:p w14:paraId="14A1233A" w14:textId="77777777" w:rsidR="003A61FB" w:rsidRDefault="009415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807 1 16 10123 01 0031 140</w:t>
            </w:r>
          </w:p>
        </w:tc>
        <w:tc>
          <w:tcPr>
            <w:tcW w:w="1616" w:type="pct"/>
          </w:tcPr>
          <w:p w14:paraId="04D119AD" w14:textId="77777777" w:rsidR="003A61FB" w:rsidRDefault="00941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твовавшим в 2019 году (доходы бюджетов внутригородских муниципальных образований)</w:t>
            </w:r>
          </w:p>
        </w:tc>
        <w:tc>
          <w:tcPr>
            <w:tcW w:w="797" w:type="pct"/>
          </w:tcPr>
          <w:p w14:paraId="64D2BEC3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+100,0</w:t>
            </w:r>
          </w:p>
        </w:tc>
        <w:tc>
          <w:tcPr>
            <w:tcW w:w="1036" w:type="pct"/>
          </w:tcPr>
          <w:p w14:paraId="30CBA178" w14:textId="77777777" w:rsidR="00941543" w:rsidRDefault="00941543" w:rsidP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поступление</w:t>
            </w:r>
          </w:p>
          <w:p w14:paraId="03ED3288" w14:textId="5EEFCE56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2EC17C5" w14:textId="77777777" w:rsidR="003A61FB" w:rsidRDefault="003A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58BCF5" w14:textId="77777777" w:rsidR="003A61FB" w:rsidRDefault="003A61FB">
      <w:pPr>
        <w:spacing w:after="0" w:line="240" w:lineRule="auto"/>
        <w:ind w:left="-5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55B50E" w14:textId="77777777" w:rsidR="003A61FB" w:rsidRDefault="00941543">
      <w:pPr>
        <w:spacing w:after="0" w:line="240" w:lineRule="auto"/>
        <w:ind w:left="-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В соответствии с прогнозными данными, полученными от администраторов доходов </w:t>
      </w:r>
      <w:r>
        <w:rPr>
          <w:rFonts w:ascii="Times New Roman" w:hAnsi="Times New Roman" w:cs="Times New Roman"/>
          <w:bCs/>
          <w:sz w:val="26"/>
          <w:szCs w:val="26"/>
        </w:rPr>
        <w:t>необходимо уменьшение ранее запланированных доходов по следующим кодам бюджетной классификации:</w:t>
      </w:r>
    </w:p>
    <w:p w14:paraId="240FC0D1" w14:textId="77777777" w:rsidR="003A61FB" w:rsidRDefault="003A61F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969"/>
        <w:gridCol w:w="3093"/>
        <w:gridCol w:w="1526"/>
        <w:gridCol w:w="1983"/>
      </w:tblGrid>
      <w:tr w:rsidR="003A61FB" w14:paraId="64D28765" w14:textId="77777777" w:rsidTr="00941543">
        <w:tc>
          <w:tcPr>
            <w:tcW w:w="1551" w:type="pct"/>
          </w:tcPr>
          <w:p w14:paraId="0B64C687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КБК</w:t>
            </w:r>
          </w:p>
        </w:tc>
        <w:tc>
          <w:tcPr>
            <w:tcW w:w="1616" w:type="pct"/>
          </w:tcPr>
          <w:p w14:paraId="3420F027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97" w:type="pct"/>
          </w:tcPr>
          <w:p w14:paraId="6EA9CA1A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Сумма, тыс. руб.</w:t>
            </w:r>
          </w:p>
        </w:tc>
        <w:tc>
          <w:tcPr>
            <w:tcW w:w="1036" w:type="pct"/>
          </w:tcPr>
          <w:p w14:paraId="02BB41A8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Примечание</w:t>
            </w:r>
          </w:p>
        </w:tc>
      </w:tr>
      <w:tr w:rsidR="003A61FB" w14:paraId="2EC0BA0B" w14:textId="77777777" w:rsidTr="00941543">
        <w:tc>
          <w:tcPr>
            <w:tcW w:w="1551" w:type="pct"/>
            <w:tcBorders>
              <w:top w:val="nil"/>
            </w:tcBorders>
          </w:tcPr>
          <w:p w14:paraId="7BA124D4" w14:textId="77777777" w:rsidR="003A61FB" w:rsidRDefault="009415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182 1 01 02010 01 0000 110</w:t>
            </w:r>
          </w:p>
        </w:tc>
        <w:tc>
          <w:tcPr>
            <w:tcW w:w="1616" w:type="pct"/>
            <w:tcBorders>
              <w:top w:val="nil"/>
            </w:tcBorders>
          </w:tcPr>
          <w:p w14:paraId="700EC283" w14:textId="77777777" w:rsidR="003A61FB" w:rsidRDefault="00941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доходов, источником которых является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14:paraId="01491235" w14:textId="77777777" w:rsidR="003A61FB" w:rsidRDefault="003A61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7" w:type="pct"/>
            <w:tcBorders>
              <w:top w:val="nil"/>
            </w:tcBorders>
          </w:tcPr>
          <w:p w14:paraId="6B4C1D0B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-25 544,6</w:t>
            </w:r>
          </w:p>
        </w:tc>
        <w:tc>
          <w:tcPr>
            <w:tcW w:w="1036" w:type="pct"/>
            <w:tcBorders>
              <w:top w:val="nil"/>
            </w:tcBorders>
          </w:tcPr>
          <w:p w14:paraId="4BBBF45E" w14:textId="77777777" w:rsidR="00941543" w:rsidRDefault="00941543" w:rsidP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поступление</w:t>
            </w:r>
          </w:p>
          <w:p w14:paraId="62032C20" w14:textId="0EFE4579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61FB" w14:paraId="552C8D7C" w14:textId="77777777" w:rsidTr="00941543">
        <w:tc>
          <w:tcPr>
            <w:tcW w:w="1551" w:type="pct"/>
            <w:tcBorders>
              <w:top w:val="nil"/>
            </w:tcBorders>
          </w:tcPr>
          <w:p w14:paraId="32ADF97C" w14:textId="77777777" w:rsidR="003A61FB" w:rsidRDefault="009415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806 1 16 10123 01 0031 140</w:t>
            </w:r>
          </w:p>
        </w:tc>
        <w:tc>
          <w:tcPr>
            <w:tcW w:w="1616" w:type="pct"/>
            <w:tcBorders>
              <w:top w:val="nil"/>
            </w:tcBorders>
          </w:tcPr>
          <w:p w14:paraId="5748DA72" w14:textId="77777777" w:rsidR="003A61FB" w:rsidRDefault="00941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тивам, действовавшим в 2019 году (доходы бюджетов внутригородских муниципальных образований)</w:t>
            </w:r>
          </w:p>
        </w:tc>
        <w:tc>
          <w:tcPr>
            <w:tcW w:w="797" w:type="pct"/>
            <w:tcBorders>
              <w:top w:val="nil"/>
            </w:tcBorders>
          </w:tcPr>
          <w:p w14:paraId="20F11D6F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3  501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036" w:type="pct"/>
            <w:tcBorders>
              <w:top w:val="nil"/>
            </w:tcBorders>
          </w:tcPr>
          <w:p w14:paraId="3C765CB1" w14:textId="77777777" w:rsidR="00941543" w:rsidRDefault="00941543" w:rsidP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поступление</w:t>
            </w:r>
          </w:p>
          <w:p w14:paraId="5D02F2E1" w14:textId="049AA9F2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61FB" w14:paraId="0C5B83AA" w14:textId="77777777" w:rsidTr="00941543">
        <w:tc>
          <w:tcPr>
            <w:tcW w:w="1551" w:type="pct"/>
          </w:tcPr>
          <w:p w14:paraId="293CAF88" w14:textId="77777777" w:rsidR="003A61FB" w:rsidRDefault="009415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848 1 16 10123 01 0031 140</w:t>
            </w:r>
          </w:p>
        </w:tc>
        <w:tc>
          <w:tcPr>
            <w:tcW w:w="1616" w:type="pct"/>
          </w:tcPr>
          <w:p w14:paraId="1826B3F3" w14:textId="77777777" w:rsidR="003A61FB" w:rsidRDefault="00941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бразовавшейся до 1 января 2020 года, подлежащие зачислению в бюджет муниципального образования по нормативам, действовавшим в 2019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году  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внутригородских муниципальных образований)</w:t>
            </w:r>
          </w:p>
        </w:tc>
        <w:tc>
          <w:tcPr>
            <w:tcW w:w="797" w:type="pct"/>
          </w:tcPr>
          <w:p w14:paraId="1FD225F4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22,3</w:t>
            </w:r>
          </w:p>
        </w:tc>
        <w:tc>
          <w:tcPr>
            <w:tcW w:w="1036" w:type="pct"/>
          </w:tcPr>
          <w:p w14:paraId="4CAE92F4" w14:textId="77777777" w:rsidR="00941543" w:rsidRDefault="00941543" w:rsidP="009415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поступление</w:t>
            </w:r>
          </w:p>
          <w:p w14:paraId="5C06CFB7" w14:textId="23CEB97C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DD6BE9E" w14:textId="77777777" w:rsidR="003A61FB" w:rsidRDefault="003A6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5B6D2C" w14:textId="77777777" w:rsidR="003A61FB" w:rsidRDefault="003A6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877E62F" w14:textId="60486A5D" w:rsidR="003A61FB" w:rsidRDefault="00941543" w:rsidP="00941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РАСХОДЫ БЮДЖЕТА</w:t>
      </w:r>
    </w:p>
    <w:p w14:paraId="552555D0" w14:textId="77777777" w:rsidR="00941543" w:rsidRDefault="00941543" w:rsidP="00941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AC67191" w14:textId="5391583F" w:rsidR="003A61FB" w:rsidRDefault="0094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связи с необходимостью осуществления выплат </w:t>
      </w:r>
      <w:r>
        <w:rPr>
          <w:rFonts w:ascii="Times New Roman" w:hAnsi="Times New Roman" w:cs="Times New Roman"/>
          <w:sz w:val="26"/>
          <w:szCs w:val="26"/>
        </w:rPr>
        <w:t>по заработной плате восстановленного на службу по решению суда сотрудника Муниципального Совета МО Светлановское требуется</w:t>
      </w:r>
      <w:r>
        <w:rPr>
          <w:rFonts w:ascii="Times New Roman" w:hAnsi="Times New Roman" w:cs="Times New Roman"/>
          <w:sz w:val="26"/>
          <w:szCs w:val="26"/>
        </w:rPr>
        <w:t xml:space="preserve"> перераспределение недостающих на эти цели бюджетных ассигнований</w:t>
      </w:r>
      <w:r>
        <w:rPr>
          <w:rFonts w:ascii="Times New Roman" w:hAnsi="Times New Roman" w:cs="Times New Roman"/>
          <w:sz w:val="26"/>
          <w:szCs w:val="26"/>
        </w:rPr>
        <w:t xml:space="preserve"> между </w:t>
      </w:r>
      <w:r>
        <w:rPr>
          <w:rFonts w:ascii="Times New Roman" w:hAnsi="Times New Roman" w:cs="Times New Roman"/>
          <w:sz w:val="26"/>
          <w:szCs w:val="26"/>
        </w:rPr>
        <w:t>целевыми статьями в части функционирования представительного органа муници</w:t>
      </w:r>
      <w:r>
        <w:rPr>
          <w:rFonts w:ascii="Times New Roman" w:hAnsi="Times New Roman" w:cs="Times New Roman"/>
          <w:sz w:val="26"/>
          <w:szCs w:val="26"/>
        </w:rPr>
        <w:t>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. При этом утвержденные ранее бюджетом МО общие лимиты бюджетных обязательств, связанных с расходами на </w:t>
      </w:r>
      <w:r>
        <w:rPr>
          <w:rFonts w:ascii="Times New Roman" w:hAnsi="Times New Roman" w:cs="Times New Roman"/>
          <w:sz w:val="26"/>
          <w:szCs w:val="26"/>
        </w:rPr>
        <w:t>функционирования представительного органа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не изменятся (объемы см. Таблицу 2 к Пояснительной записке).</w:t>
      </w:r>
    </w:p>
    <w:p w14:paraId="49FF8F02" w14:textId="77777777" w:rsidR="003A61FB" w:rsidRDefault="0094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Администрацией МО Светлановское произведен расчет фактической потребности размера выплат по пенсии за выслугу лет и ежемесячной доплаты за стаж работы в органах местного самоуправления. Необходима корректировка </w:t>
      </w:r>
      <w:r>
        <w:rPr>
          <w:rFonts w:ascii="Times New Roman" w:hAnsi="Times New Roman" w:cs="Times New Roman"/>
          <w:sz w:val="26"/>
          <w:szCs w:val="26"/>
        </w:rPr>
        <w:lastRenderedPageBreak/>
        <w:t>бюджета по соответствующим целевым статьям (</w:t>
      </w:r>
      <w:r>
        <w:rPr>
          <w:rFonts w:ascii="Times New Roman" w:hAnsi="Times New Roman" w:cs="Times New Roman"/>
          <w:sz w:val="26"/>
          <w:szCs w:val="26"/>
        </w:rPr>
        <w:t>объемы см. Таблицу 2 к Пояснительной записке).</w:t>
      </w:r>
    </w:p>
    <w:p w14:paraId="6C1E1691" w14:textId="77777777" w:rsidR="003A61FB" w:rsidRDefault="003A6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54A685" w14:textId="77777777" w:rsidR="003A61FB" w:rsidRDefault="003A6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85213F" w14:textId="09F344D4" w:rsidR="003A61FB" w:rsidRDefault="00941543" w:rsidP="00941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ИСТОЧНИКИ ФИНАНСИРОВАНИЯ ДЕФИЦИТА БЮДЖЕТА</w:t>
      </w:r>
    </w:p>
    <w:p w14:paraId="54A4279F" w14:textId="77777777" w:rsidR="00941543" w:rsidRDefault="00941543" w:rsidP="00941543">
      <w:pPr>
        <w:spacing w:after="0" w:line="240" w:lineRule="auto"/>
        <w:jc w:val="center"/>
        <w:rPr>
          <w:b/>
          <w:bCs/>
        </w:rPr>
      </w:pPr>
    </w:p>
    <w:p w14:paraId="51593B10" w14:textId="7CA7EE26" w:rsidR="003A61FB" w:rsidRDefault="009415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предложенной корректировки доходная часть </w:t>
      </w:r>
      <w:r>
        <w:rPr>
          <w:rFonts w:ascii="Times New Roman" w:hAnsi="Times New Roman" w:cs="Times New Roman"/>
          <w:sz w:val="26"/>
          <w:szCs w:val="26"/>
        </w:rPr>
        <w:t xml:space="preserve">бюджета уменьшатся на </w:t>
      </w:r>
      <w:r>
        <w:rPr>
          <w:rFonts w:ascii="Times New Roman" w:hAnsi="Times New Roman" w:cs="Times New Roman"/>
          <w:sz w:val="26"/>
          <w:szCs w:val="26"/>
        </w:rPr>
        <w:t xml:space="preserve">28 </w:t>
      </w:r>
      <w:r>
        <w:rPr>
          <w:rFonts w:ascii="Times New Roman" w:hAnsi="Times New Roman" w:cs="Times New Roman"/>
          <w:sz w:val="26"/>
          <w:szCs w:val="26"/>
        </w:rPr>
        <w:t>721,6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составят </w:t>
      </w:r>
      <w:r>
        <w:rPr>
          <w:rFonts w:ascii="Times New Roman" w:hAnsi="Times New Roman" w:cs="Times New Roman"/>
          <w:sz w:val="26"/>
          <w:szCs w:val="26"/>
        </w:rPr>
        <w:t xml:space="preserve">145 </w:t>
      </w:r>
      <w:r>
        <w:rPr>
          <w:rFonts w:ascii="Times New Roman" w:hAnsi="Times New Roman" w:cs="Times New Roman"/>
          <w:sz w:val="26"/>
          <w:szCs w:val="26"/>
        </w:rPr>
        <w:t>952,0</w:t>
      </w:r>
      <w:r>
        <w:rPr>
          <w:rFonts w:ascii="Times New Roman" w:hAnsi="Times New Roman" w:cs="Times New Roman"/>
          <w:sz w:val="26"/>
          <w:szCs w:val="26"/>
        </w:rPr>
        <w:t xml:space="preserve"> тыс. рублей. Расходная часть </w:t>
      </w:r>
      <w:r>
        <w:rPr>
          <w:rFonts w:ascii="Times New Roman" w:hAnsi="Times New Roman" w:cs="Times New Roman"/>
          <w:sz w:val="26"/>
          <w:szCs w:val="26"/>
        </w:rPr>
        <w:t xml:space="preserve">бюджета уменьшатся на 1,1 тыс. рублей и </w:t>
      </w:r>
      <w:r>
        <w:rPr>
          <w:rFonts w:ascii="Times New Roman" w:hAnsi="Times New Roman" w:cs="Times New Roman"/>
          <w:sz w:val="26"/>
          <w:szCs w:val="26"/>
        </w:rPr>
        <w:t xml:space="preserve">составят </w:t>
      </w:r>
      <w:r>
        <w:rPr>
          <w:rFonts w:ascii="Times New Roman" w:hAnsi="Times New Roman" w:cs="Times New Roman"/>
          <w:sz w:val="26"/>
          <w:szCs w:val="26"/>
        </w:rPr>
        <w:t xml:space="preserve">186 </w:t>
      </w:r>
      <w:r>
        <w:rPr>
          <w:rFonts w:ascii="Times New Roman" w:hAnsi="Times New Roman" w:cs="Times New Roman"/>
          <w:sz w:val="26"/>
          <w:szCs w:val="26"/>
        </w:rPr>
        <w:t>620,4</w:t>
      </w:r>
      <w:r>
        <w:rPr>
          <w:rFonts w:ascii="Times New Roman" w:hAnsi="Times New Roman" w:cs="Times New Roman"/>
          <w:sz w:val="26"/>
          <w:szCs w:val="26"/>
        </w:rPr>
        <w:t xml:space="preserve"> тыс. рублей. Размер дефицита бюджета увеличится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720,5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>
        <w:rPr>
          <w:rFonts w:ascii="Times New Roman" w:hAnsi="Times New Roman" w:cs="Times New Roman"/>
          <w:sz w:val="26"/>
          <w:szCs w:val="26"/>
        </w:rPr>
        <w:t xml:space="preserve">40 </w:t>
      </w:r>
      <w:r>
        <w:rPr>
          <w:rFonts w:ascii="Times New Roman" w:hAnsi="Times New Roman" w:cs="Times New Roman"/>
          <w:sz w:val="26"/>
          <w:szCs w:val="26"/>
        </w:rPr>
        <w:t>668,4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673BB219" w14:textId="31A9D37C" w:rsidR="003A61FB" w:rsidRDefault="0094154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абзацем 3 п. 3 ст. 92.1 Бюджетного кодекса РФ необходимо покрытие дефицита бюджета за счет </w:t>
      </w:r>
      <w:r>
        <w:rPr>
          <w:rFonts w:ascii="Times New Roman" w:hAnsi="Times New Roman" w:cs="Times New Roman"/>
          <w:sz w:val="26"/>
          <w:szCs w:val="26"/>
        </w:rPr>
        <w:t>снижения остатков средств</w:t>
      </w:r>
      <w:r>
        <w:rPr>
          <w:rFonts w:ascii="Times New Roman" w:hAnsi="Times New Roman" w:cs="Times New Roman"/>
          <w:sz w:val="26"/>
          <w:szCs w:val="26"/>
        </w:rPr>
        <w:t xml:space="preserve"> на счетах по учету средств местного бюджета. Данное требование на текущую дату выполняется. Нарушений требований бюджетной дисциплины не допускается. </w:t>
      </w:r>
    </w:p>
    <w:p w14:paraId="6C9CA8E1" w14:textId="5B23198E" w:rsidR="003A61FB" w:rsidRDefault="003A6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9850CC" w14:textId="77777777" w:rsidR="00941543" w:rsidRDefault="0094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107B932" w14:textId="07299F46" w:rsidR="003A61FB" w:rsidRDefault="0094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С.С. Кузьмин</w:t>
      </w:r>
    </w:p>
    <w:p w14:paraId="30589DF0" w14:textId="77777777" w:rsidR="003A61FB" w:rsidRDefault="003A6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AFD3CF" w14:textId="77777777" w:rsidR="003A61FB" w:rsidRDefault="003A6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E5D7AF3" w14:textId="77777777" w:rsidR="003A61FB" w:rsidRDefault="00941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3A61FB">
          <w:pgSz w:w="11906" w:h="16838"/>
          <w:pgMar w:top="567" w:right="850" w:bottom="709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Главный бухгалтер                                             О.А. Кузина           </w:t>
      </w:r>
    </w:p>
    <w:p w14:paraId="23429272" w14:textId="77777777" w:rsidR="003A61FB" w:rsidRDefault="009415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СПРАВКА</w:t>
      </w:r>
    </w:p>
    <w:p w14:paraId="4BF8F4E8" w14:textId="77777777" w:rsidR="003A61FB" w:rsidRDefault="009415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уточнении бюджета внутригородского муниципального образования </w:t>
      </w:r>
    </w:p>
    <w:p w14:paraId="28D84BCA" w14:textId="77777777" w:rsidR="003A61FB" w:rsidRDefault="009415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</w:t>
      </w:r>
    </w:p>
    <w:p w14:paraId="0CE04041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20DB61D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10285D" w14:textId="77777777" w:rsidR="003A61FB" w:rsidRDefault="009415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 к Пояснительной записке</w:t>
      </w:r>
    </w:p>
    <w:p w14:paraId="0DE9499C" w14:textId="77777777" w:rsidR="003A61FB" w:rsidRDefault="003A61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3"/>
        <w:gridCol w:w="4680"/>
        <w:gridCol w:w="4960"/>
        <w:gridCol w:w="1844"/>
        <w:gridCol w:w="1558"/>
        <w:gridCol w:w="1559"/>
      </w:tblGrid>
      <w:tr w:rsidR="003A61FB" w14:paraId="1203490A" w14:textId="77777777">
        <w:tc>
          <w:tcPr>
            <w:tcW w:w="702" w:type="dxa"/>
          </w:tcPr>
          <w:p w14:paraId="49B9A6A2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680" w:type="dxa"/>
          </w:tcPr>
          <w:p w14:paraId="723A8132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960" w:type="dxa"/>
          </w:tcPr>
          <w:p w14:paraId="497B4E07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844" w:type="dxa"/>
          </w:tcPr>
          <w:p w14:paraId="1A6D4DEB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Утверждено по бюджету, тыс. руб.</w:t>
            </w:r>
          </w:p>
        </w:tc>
        <w:tc>
          <w:tcPr>
            <w:tcW w:w="1558" w:type="dxa"/>
          </w:tcPr>
          <w:p w14:paraId="6E52EF02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Уточнение по бюджету,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</w:tcPr>
          <w:p w14:paraId="7EA81A3B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 изменений, тыс. руб.</w:t>
            </w:r>
          </w:p>
        </w:tc>
      </w:tr>
      <w:tr w:rsidR="003A61FB" w14:paraId="1533459A" w14:textId="77777777">
        <w:tc>
          <w:tcPr>
            <w:tcW w:w="15303" w:type="dxa"/>
            <w:gridSpan w:val="6"/>
          </w:tcPr>
          <w:p w14:paraId="2315C500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ДОХОДЫ</w:t>
            </w:r>
          </w:p>
        </w:tc>
      </w:tr>
      <w:tr w:rsidR="003A61FB" w14:paraId="16319343" w14:textId="77777777">
        <w:tc>
          <w:tcPr>
            <w:tcW w:w="702" w:type="dxa"/>
          </w:tcPr>
          <w:p w14:paraId="6B01EC0D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14:paraId="43C99706" w14:textId="77777777" w:rsidR="003A61FB" w:rsidRDefault="00941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227.1 и 228 Налогового кодекса Российской Федерации</w:t>
            </w:r>
          </w:p>
        </w:tc>
        <w:tc>
          <w:tcPr>
            <w:tcW w:w="4960" w:type="dxa"/>
          </w:tcPr>
          <w:p w14:paraId="27B39507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182 1 01 02010 01 0000 110</w:t>
            </w:r>
          </w:p>
        </w:tc>
        <w:tc>
          <w:tcPr>
            <w:tcW w:w="1844" w:type="dxa"/>
          </w:tcPr>
          <w:p w14:paraId="2F68EAD6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114 374,3</w:t>
            </w:r>
          </w:p>
        </w:tc>
        <w:tc>
          <w:tcPr>
            <w:tcW w:w="1558" w:type="dxa"/>
          </w:tcPr>
          <w:p w14:paraId="6705DD8B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88 829,7</w:t>
            </w:r>
          </w:p>
        </w:tc>
        <w:tc>
          <w:tcPr>
            <w:tcW w:w="1559" w:type="dxa"/>
          </w:tcPr>
          <w:p w14:paraId="67111A79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25 544,6</w:t>
            </w:r>
          </w:p>
        </w:tc>
      </w:tr>
      <w:tr w:rsidR="003A61FB" w14:paraId="0D21C4A4" w14:textId="77777777">
        <w:tc>
          <w:tcPr>
            <w:tcW w:w="702" w:type="dxa"/>
          </w:tcPr>
          <w:p w14:paraId="06EB3C1F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80" w:type="dxa"/>
          </w:tcPr>
          <w:p w14:paraId="096E2F62" w14:textId="77777777" w:rsidR="003A61FB" w:rsidRDefault="00941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Средства, составляющие восстановительную стоимость зеленых насаждений общего пользования местного значения и подлежащие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зачислению  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внутригородских муниципальных образований Санкт-Петербурга в соответствии с законодательством Санкт-Петербурга</w:t>
            </w:r>
          </w:p>
          <w:p w14:paraId="631C65F7" w14:textId="77777777" w:rsidR="003A61FB" w:rsidRDefault="003A61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0" w:type="dxa"/>
          </w:tcPr>
          <w:p w14:paraId="5380AABE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867 1 13 02993 03 0100 130</w:t>
            </w:r>
          </w:p>
        </w:tc>
        <w:tc>
          <w:tcPr>
            <w:tcW w:w="1844" w:type="dxa"/>
          </w:tcPr>
          <w:p w14:paraId="0A231817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1 034,5</w:t>
            </w:r>
          </w:p>
        </w:tc>
        <w:tc>
          <w:tcPr>
            <w:tcW w:w="1558" w:type="dxa"/>
          </w:tcPr>
          <w:p w14:paraId="7F5FCE64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1 222,1</w:t>
            </w:r>
          </w:p>
        </w:tc>
        <w:tc>
          <w:tcPr>
            <w:tcW w:w="1559" w:type="dxa"/>
          </w:tcPr>
          <w:p w14:paraId="197DE0B2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+187,6</w:t>
            </w:r>
          </w:p>
        </w:tc>
      </w:tr>
      <w:tr w:rsidR="003A61FB" w14:paraId="6539C1B8" w14:textId="77777777">
        <w:tc>
          <w:tcPr>
            <w:tcW w:w="702" w:type="dxa"/>
            <w:tcBorders>
              <w:top w:val="nil"/>
            </w:tcBorders>
          </w:tcPr>
          <w:p w14:paraId="63816EFD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80" w:type="dxa"/>
            <w:tcBorders>
              <w:top w:val="nil"/>
            </w:tcBorders>
          </w:tcPr>
          <w:p w14:paraId="778BCE94" w14:textId="77777777" w:rsidR="003A61FB" w:rsidRDefault="00941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Другие виды прочих доходов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компенсации затрат бюджетов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внутригородских муниципальных образований Санкт-Петербурга</w:t>
            </w:r>
          </w:p>
          <w:p w14:paraId="4980E878" w14:textId="77777777" w:rsidR="003A61FB" w:rsidRDefault="003A61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0" w:type="dxa"/>
            <w:tcBorders>
              <w:top w:val="nil"/>
            </w:tcBorders>
          </w:tcPr>
          <w:p w14:paraId="7163223A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913 1 13 02993 03 0200 130</w:t>
            </w:r>
          </w:p>
        </w:tc>
        <w:tc>
          <w:tcPr>
            <w:tcW w:w="1844" w:type="dxa"/>
            <w:tcBorders>
              <w:top w:val="nil"/>
            </w:tcBorders>
          </w:tcPr>
          <w:p w14:paraId="0324F4B9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370,9</w:t>
            </w:r>
          </w:p>
        </w:tc>
        <w:tc>
          <w:tcPr>
            <w:tcW w:w="1558" w:type="dxa"/>
            <w:tcBorders>
              <w:top w:val="nil"/>
            </w:tcBorders>
          </w:tcPr>
          <w:p w14:paraId="3BCD152E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421,0</w:t>
            </w:r>
          </w:p>
        </w:tc>
        <w:tc>
          <w:tcPr>
            <w:tcW w:w="1559" w:type="dxa"/>
            <w:tcBorders>
              <w:top w:val="nil"/>
            </w:tcBorders>
          </w:tcPr>
          <w:p w14:paraId="45B2537D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+50,1</w:t>
            </w:r>
          </w:p>
        </w:tc>
      </w:tr>
      <w:tr w:rsidR="003A61FB" w14:paraId="4D7E5CC8" w14:textId="77777777">
        <w:tc>
          <w:tcPr>
            <w:tcW w:w="702" w:type="dxa"/>
            <w:tcBorders>
              <w:top w:val="nil"/>
            </w:tcBorders>
          </w:tcPr>
          <w:p w14:paraId="73C98B7A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80" w:type="dxa"/>
            <w:tcBorders>
              <w:top w:val="nil"/>
            </w:tcBorders>
          </w:tcPr>
          <w:p w14:paraId="15F8CD25" w14:textId="77777777" w:rsidR="003A61FB" w:rsidRDefault="00941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зачислению в бюджет муниципального образования по нормативам, действовавшим в 2019 году (доходы бюджетов внутригородских муниципальных образований)</w:t>
            </w:r>
          </w:p>
        </w:tc>
        <w:tc>
          <w:tcPr>
            <w:tcW w:w="4960" w:type="dxa"/>
            <w:tcBorders>
              <w:top w:val="nil"/>
            </w:tcBorders>
          </w:tcPr>
          <w:p w14:paraId="04E2C7CE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182 1 16 10123 01 0031 140</w:t>
            </w:r>
          </w:p>
        </w:tc>
        <w:tc>
          <w:tcPr>
            <w:tcW w:w="1844" w:type="dxa"/>
            <w:tcBorders>
              <w:top w:val="nil"/>
            </w:tcBorders>
          </w:tcPr>
          <w:p w14:paraId="0B17E8A1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nil"/>
            </w:tcBorders>
          </w:tcPr>
          <w:p w14:paraId="2F442435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  <w:tc>
          <w:tcPr>
            <w:tcW w:w="1559" w:type="dxa"/>
            <w:tcBorders>
              <w:top w:val="nil"/>
            </w:tcBorders>
          </w:tcPr>
          <w:p w14:paraId="642DD62D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+8,6</w:t>
            </w:r>
          </w:p>
        </w:tc>
      </w:tr>
      <w:tr w:rsidR="003A61FB" w14:paraId="358FEA78" w14:textId="77777777">
        <w:tc>
          <w:tcPr>
            <w:tcW w:w="702" w:type="dxa"/>
            <w:tcBorders>
              <w:top w:val="nil"/>
            </w:tcBorders>
          </w:tcPr>
          <w:p w14:paraId="03BA35BC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80" w:type="dxa"/>
            <w:tcBorders>
              <w:top w:val="nil"/>
            </w:tcBorders>
          </w:tcPr>
          <w:p w14:paraId="19AC0EF1" w14:textId="77777777" w:rsidR="003A61FB" w:rsidRDefault="00941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образований)</w:t>
            </w:r>
          </w:p>
        </w:tc>
        <w:tc>
          <w:tcPr>
            <w:tcW w:w="4960" w:type="dxa"/>
            <w:tcBorders>
              <w:top w:val="nil"/>
            </w:tcBorders>
          </w:tcPr>
          <w:p w14:paraId="78C5FC61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806 1 16 10123 01 0031 140</w:t>
            </w:r>
          </w:p>
        </w:tc>
        <w:tc>
          <w:tcPr>
            <w:tcW w:w="1844" w:type="dxa"/>
            <w:tcBorders>
              <w:top w:val="nil"/>
            </w:tcBorders>
          </w:tcPr>
          <w:p w14:paraId="5E70045B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3 601,0</w:t>
            </w:r>
          </w:p>
        </w:tc>
        <w:tc>
          <w:tcPr>
            <w:tcW w:w="1558" w:type="dxa"/>
            <w:tcBorders>
              <w:top w:val="nil"/>
            </w:tcBorders>
          </w:tcPr>
          <w:p w14:paraId="0A63FF4A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</w:tcBorders>
          </w:tcPr>
          <w:p w14:paraId="39456066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-3 501,0</w:t>
            </w:r>
          </w:p>
        </w:tc>
      </w:tr>
      <w:tr w:rsidR="003A61FB" w14:paraId="3FCFB7A1" w14:textId="77777777">
        <w:tc>
          <w:tcPr>
            <w:tcW w:w="702" w:type="dxa"/>
          </w:tcPr>
          <w:p w14:paraId="6D22C705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80" w:type="dxa"/>
          </w:tcPr>
          <w:p w14:paraId="6A3A0B51" w14:textId="77777777" w:rsidR="003A61FB" w:rsidRDefault="00941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году (доходы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бюджетов внутригородских муниципальных образований)</w:t>
            </w:r>
          </w:p>
        </w:tc>
        <w:tc>
          <w:tcPr>
            <w:tcW w:w="4960" w:type="dxa"/>
          </w:tcPr>
          <w:p w14:paraId="4FD1100C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807 1 16 10123 01 0031 140</w:t>
            </w:r>
          </w:p>
        </w:tc>
        <w:tc>
          <w:tcPr>
            <w:tcW w:w="1844" w:type="dxa"/>
          </w:tcPr>
          <w:p w14:paraId="22616C3C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14:paraId="0E820567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</w:tcPr>
          <w:p w14:paraId="2D15FE76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+100,0</w:t>
            </w:r>
          </w:p>
        </w:tc>
      </w:tr>
      <w:tr w:rsidR="003A61FB" w14:paraId="3F69F0F0" w14:textId="77777777">
        <w:tc>
          <w:tcPr>
            <w:tcW w:w="702" w:type="dxa"/>
          </w:tcPr>
          <w:p w14:paraId="1EC46F43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80" w:type="dxa"/>
          </w:tcPr>
          <w:p w14:paraId="70ED13A9" w14:textId="77777777" w:rsidR="003A61FB" w:rsidRDefault="00941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ципального образования по нормативам, действовавшим в 2019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году  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внутригородских муниципальных образований)</w:t>
            </w:r>
          </w:p>
        </w:tc>
        <w:tc>
          <w:tcPr>
            <w:tcW w:w="4960" w:type="dxa"/>
          </w:tcPr>
          <w:p w14:paraId="52182EAF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848 1 16 10123 01 0031 140</w:t>
            </w:r>
          </w:p>
        </w:tc>
        <w:tc>
          <w:tcPr>
            <w:tcW w:w="1844" w:type="dxa"/>
          </w:tcPr>
          <w:p w14:paraId="04C3C5D2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44,7</w:t>
            </w:r>
          </w:p>
        </w:tc>
        <w:tc>
          <w:tcPr>
            <w:tcW w:w="1558" w:type="dxa"/>
          </w:tcPr>
          <w:p w14:paraId="6588BF63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1559" w:type="dxa"/>
          </w:tcPr>
          <w:p w14:paraId="4A231859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22,3</w:t>
            </w:r>
          </w:p>
        </w:tc>
      </w:tr>
      <w:tr w:rsidR="003A61FB" w14:paraId="2C6FD505" w14:textId="77777777">
        <w:tc>
          <w:tcPr>
            <w:tcW w:w="702" w:type="dxa"/>
          </w:tcPr>
          <w:p w14:paraId="5E4D0286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680" w:type="dxa"/>
          </w:tcPr>
          <w:p w14:paraId="4B66B8A1" w14:textId="77777777" w:rsidR="003A61FB" w:rsidRDefault="00941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960" w:type="dxa"/>
          </w:tcPr>
          <w:p w14:paraId="3EC5CC2F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844" w:type="dxa"/>
          </w:tcPr>
          <w:p w14:paraId="4536FCCB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58" w:type="dxa"/>
          </w:tcPr>
          <w:p w14:paraId="698CC9CA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</w:tcPr>
          <w:p w14:paraId="5926469D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-28 721,6</w:t>
            </w:r>
          </w:p>
        </w:tc>
      </w:tr>
    </w:tbl>
    <w:p w14:paraId="594BEE71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10745C8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0CF69B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F5D4FD4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9CC68B5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D9C8C9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AF8A979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08A7AB9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B92D709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B504737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1C8E5BF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3227EEA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D6BCF7E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C03F19B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E58C988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385AEB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004D499" w14:textId="77777777" w:rsidR="003A61FB" w:rsidRDefault="003A6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5CA24A" w14:textId="77777777" w:rsidR="003A61FB" w:rsidRDefault="009415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2 к Пояснительной записке</w:t>
      </w:r>
    </w:p>
    <w:p w14:paraId="10CAA6E9" w14:textId="77777777" w:rsidR="003A61FB" w:rsidRDefault="003A61FB"/>
    <w:tbl>
      <w:tblPr>
        <w:tblStyle w:val="ad"/>
        <w:tblW w:w="155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4"/>
        <w:gridCol w:w="4867"/>
        <w:gridCol w:w="1063"/>
        <w:gridCol w:w="1134"/>
        <w:gridCol w:w="1629"/>
        <w:gridCol w:w="1278"/>
        <w:gridCol w:w="1700"/>
        <w:gridCol w:w="1623"/>
        <w:gridCol w:w="1617"/>
      </w:tblGrid>
      <w:tr w:rsidR="003A61FB" w14:paraId="2CA85327" w14:textId="77777777">
        <w:tc>
          <w:tcPr>
            <w:tcW w:w="663" w:type="dxa"/>
          </w:tcPr>
          <w:p w14:paraId="4971EAB2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866" w:type="dxa"/>
          </w:tcPr>
          <w:p w14:paraId="32459564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63" w:type="dxa"/>
          </w:tcPr>
          <w:p w14:paraId="3280F84B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ГРБС</w:t>
            </w:r>
          </w:p>
        </w:tc>
        <w:tc>
          <w:tcPr>
            <w:tcW w:w="1134" w:type="dxa"/>
          </w:tcPr>
          <w:p w14:paraId="18C21C5B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Код подраздела</w:t>
            </w:r>
          </w:p>
        </w:tc>
        <w:tc>
          <w:tcPr>
            <w:tcW w:w="1629" w:type="dxa"/>
          </w:tcPr>
          <w:p w14:paraId="69C690FE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Код целевой статьи</w:t>
            </w:r>
          </w:p>
        </w:tc>
        <w:tc>
          <w:tcPr>
            <w:tcW w:w="1278" w:type="dxa"/>
          </w:tcPr>
          <w:p w14:paraId="01B55A7C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расхода</w:t>
            </w:r>
          </w:p>
        </w:tc>
        <w:tc>
          <w:tcPr>
            <w:tcW w:w="1700" w:type="dxa"/>
          </w:tcPr>
          <w:p w14:paraId="255D0457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Утверждено по бюджету, тыс. руб.</w:t>
            </w:r>
          </w:p>
        </w:tc>
        <w:tc>
          <w:tcPr>
            <w:tcW w:w="1623" w:type="dxa"/>
          </w:tcPr>
          <w:p w14:paraId="7C7C4769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Уточнение по бюджету, тыс. руб.</w:t>
            </w:r>
          </w:p>
        </w:tc>
        <w:tc>
          <w:tcPr>
            <w:tcW w:w="1617" w:type="dxa"/>
          </w:tcPr>
          <w:p w14:paraId="46CC74C4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 изменений, тыс. руб.</w:t>
            </w:r>
          </w:p>
        </w:tc>
      </w:tr>
      <w:tr w:rsidR="003A61FB" w14:paraId="789D1FF1" w14:textId="77777777">
        <w:tc>
          <w:tcPr>
            <w:tcW w:w="15573" w:type="dxa"/>
            <w:gridSpan w:val="9"/>
          </w:tcPr>
          <w:p w14:paraId="508AD1BD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РАСХОДЫ</w:t>
            </w:r>
          </w:p>
        </w:tc>
      </w:tr>
      <w:tr w:rsidR="003A61FB" w14:paraId="438726DD" w14:textId="77777777">
        <w:tc>
          <w:tcPr>
            <w:tcW w:w="663" w:type="dxa"/>
            <w:vAlign w:val="center"/>
          </w:tcPr>
          <w:p w14:paraId="3EDF4A0D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4866" w:type="dxa"/>
            <w:vAlign w:val="center"/>
          </w:tcPr>
          <w:p w14:paraId="1728A4F9" w14:textId="77777777" w:rsidR="003A61FB" w:rsidRDefault="009415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Совет:</w:t>
            </w:r>
          </w:p>
        </w:tc>
        <w:tc>
          <w:tcPr>
            <w:tcW w:w="1063" w:type="dxa"/>
            <w:vAlign w:val="center"/>
          </w:tcPr>
          <w:p w14:paraId="0D4DAC8B" w14:textId="77777777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7E0F9EE" w14:textId="77777777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9" w:type="dxa"/>
            <w:vAlign w:val="center"/>
          </w:tcPr>
          <w:p w14:paraId="0CE10A76" w14:textId="77777777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vAlign w:val="center"/>
          </w:tcPr>
          <w:p w14:paraId="305B1308" w14:textId="77777777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14:paraId="30F5DC4B" w14:textId="77777777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3" w:type="dxa"/>
            <w:vAlign w:val="center"/>
          </w:tcPr>
          <w:p w14:paraId="63110089" w14:textId="77777777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14:paraId="1E4E7910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A61FB" w14:paraId="4F4D77EC" w14:textId="77777777">
        <w:tc>
          <w:tcPr>
            <w:tcW w:w="663" w:type="dxa"/>
            <w:tcBorders>
              <w:top w:val="nil"/>
            </w:tcBorders>
            <w:vAlign w:val="center"/>
          </w:tcPr>
          <w:p w14:paraId="32EAD423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6" w:type="dxa"/>
            <w:tcBorders>
              <w:top w:val="nil"/>
            </w:tcBorders>
            <w:vAlign w:val="center"/>
          </w:tcPr>
          <w:p w14:paraId="75D9131C" w14:textId="77777777" w:rsidR="003A61FB" w:rsidRDefault="009415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депутатов муниципального совета,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осуществляющих свою деятельность на постоянной основе</w:t>
            </w:r>
          </w:p>
          <w:p w14:paraId="23BF158E" w14:textId="77777777" w:rsidR="003A61FB" w:rsidRDefault="003A61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14:paraId="74AAB024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33440D3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29" w:type="dxa"/>
            <w:tcBorders>
              <w:top w:val="nil"/>
            </w:tcBorders>
            <w:vAlign w:val="center"/>
          </w:tcPr>
          <w:p w14:paraId="16A7C049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00200 00021</w:t>
            </w:r>
          </w:p>
        </w:tc>
        <w:tc>
          <w:tcPr>
            <w:tcW w:w="1278" w:type="dxa"/>
            <w:tcBorders>
              <w:top w:val="nil"/>
            </w:tcBorders>
            <w:vAlign w:val="center"/>
          </w:tcPr>
          <w:p w14:paraId="3C887DFF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5B56726E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619,6</w:t>
            </w:r>
          </w:p>
        </w:tc>
        <w:tc>
          <w:tcPr>
            <w:tcW w:w="1623" w:type="dxa"/>
            <w:tcBorders>
              <w:top w:val="nil"/>
            </w:tcBorders>
            <w:vAlign w:val="center"/>
          </w:tcPr>
          <w:p w14:paraId="1E70DB27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565,7</w:t>
            </w:r>
          </w:p>
        </w:tc>
        <w:tc>
          <w:tcPr>
            <w:tcW w:w="1617" w:type="dxa"/>
            <w:tcBorders>
              <w:top w:val="nil"/>
            </w:tcBorders>
            <w:vAlign w:val="center"/>
          </w:tcPr>
          <w:p w14:paraId="6A941DF0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-52,1</w:t>
            </w:r>
          </w:p>
        </w:tc>
      </w:tr>
      <w:tr w:rsidR="003A61FB" w14:paraId="77603976" w14:textId="77777777">
        <w:tc>
          <w:tcPr>
            <w:tcW w:w="663" w:type="dxa"/>
            <w:tcBorders>
              <w:top w:val="nil"/>
            </w:tcBorders>
            <w:vAlign w:val="center"/>
          </w:tcPr>
          <w:p w14:paraId="69FE7C9D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6" w:type="dxa"/>
            <w:tcBorders>
              <w:top w:val="nil"/>
            </w:tcBorders>
            <w:vAlign w:val="center"/>
          </w:tcPr>
          <w:p w14:paraId="62FF71BE" w14:textId="77777777" w:rsidR="003A61FB" w:rsidRDefault="009415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  <w:p w14:paraId="7CBB76A3" w14:textId="77777777" w:rsidR="003A61FB" w:rsidRDefault="003A61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14:paraId="3EC34BA4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539B94E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29" w:type="dxa"/>
            <w:tcBorders>
              <w:top w:val="nil"/>
            </w:tcBorders>
            <w:vAlign w:val="center"/>
          </w:tcPr>
          <w:p w14:paraId="7286C04C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00200 00023</w:t>
            </w:r>
          </w:p>
        </w:tc>
        <w:tc>
          <w:tcPr>
            <w:tcW w:w="1278" w:type="dxa"/>
            <w:tcBorders>
              <w:top w:val="nil"/>
            </w:tcBorders>
            <w:vAlign w:val="center"/>
          </w:tcPr>
          <w:p w14:paraId="368C1115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367814A4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5265,0</w:t>
            </w:r>
          </w:p>
        </w:tc>
        <w:tc>
          <w:tcPr>
            <w:tcW w:w="1623" w:type="dxa"/>
            <w:tcBorders>
              <w:top w:val="nil"/>
            </w:tcBorders>
            <w:vAlign w:val="center"/>
          </w:tcPr>
          <w:p w14:paraId="37BCB264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5317,1</w:t>
            </w:r>
          </w:p>
        </w:tc>
        <w:tc>
          <w:tcPr>
            <w:tcW w:w="1617" w:type="dxa"/>
            <w:tcBorders>
              <w:top w:val="nil"/>
            </w:tcBorders>
            <w:vAlign w:val="center"/>
          </w:tcPr>
          <w:p w14:paraId="5D1485DC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+52,1</w:t>
            </w:r>
          </w:p>
        </w:tc>
      </w:tr>
      <w:tr w:rsidR="003A61FB" w14:paraId="63622761" w14:textId="77777777">
        <w:tc>
          <w:tcPr>
            <w:tcW w:w="663" w:type="dxa"/>
            <w:tcBorders>
              <w:top w:val="nil"/>
            </w:tcBorders>
            <w:vAlign w:val="center"/>
          </w:tcPr>
          <w:p w14:paraId="41895D54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4866" w:type="dxa"/>
            <w:tcBorders>
              <w:top w:val="nil"/>
            </w:tcBorders>
            <w:vAlign w:val="center"/>
          </w:tcPr>
          <w:p w14:paraId="4DCE23ED" w14:textId="77777777" w:rsidR="003A61FB" w:rsidRDefault="009415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Администрация:</w:t>
            </w:r>
          </w:p>
        </w:tc>
        <w:tc>
          <w:tcPr>
            <w:tcW w:w="1063" w:type="dxa"/>
            <w:tcBorders>
              <w:top w:val="nil"/>
            </w:tcBorders>
            <w:vAlign w:val="center"/>
          </w:tcPr>
          <w:p w14:paraId="78450EB7" w14:textId="77777777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C527799" w14:textId="77777777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9" w:type="dxa"/>
            <w:tcBorders>
              <w:top w:val="nil"/>
            </w:tcBorders>
            <w:vAlign w:val="center"/>
          </w:tcPr>
          <w:p w14:paraId="52C2D876" w14:textId="77777777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14:paraId="17F70355" w14:textId="77777777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A478CE5" w14:textId="77777777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3" w:type="dxa"/>
            <w:tcBorders>
              <w:top w:val="nil"/>
            </w:tcBorders>
            <w:vAlign w:val="center"/>
          </w:tcPr>
          <w:p w14:paraId="25F5362A" w14:textId="77777777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7" w:type="dxa"/>
            <w:tcBorders>
              <w:top w:val="nil"/>
            </w:tcBorders>
            <w:vAlign w:val="center"/>
          </w:tcPr>
          <w:p w14:paraId="4B2B9E3B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-1,1</w:t>
            </w:r>
          </w:p>
        </w:tc>
      </w:tr>
      <w:tr w:rsidR="003A61FB" w14:paraId="3DACAEAB" w14:textId="77777777">
        <w:tc>
          <w:tcPr>
            <w:tcW w:w="663" w:type="dxa"/>
            <w:vAlign w:val="center"/>
          </w:tcPr>
          <w:p w14:paraId="478DAE4C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6" w:type="dxa"/>
            <w:vAlign w:val="center"/>
          </w:tcPr>
          <w:p w14:paraId="21646F54" w14:textId="77777777" w:rsidR="003A61FB" w:rsidRDefault="009415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по назначению, выплате, перерасчету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приостановлению, возобновлению, прекращению выплаты пенсии за выслугу лет в соответствии с законом Санкт-Петербурга</w:t>
            </w:r>
          </w:p>
          <w:p w14:paraId="250FBB90" w14:textId="77777777" w:rsidR="003A61FB" w:rsidRDefault="003A61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vAlign w:val="center"/>
          </w:tcPr>
          <w:p w14:paraId="679B592E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913</w:t>
            </w:r>
          </w:p>
        </w:tc>
        <w:tc>
          <w:tcPr>
            <w:tcW w:w="1134" w:type="dxa"/>
            <w:vAlign w:val="center"/>
          </w:tcPr>
          <w:p w14:paraId="4DB919B2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29" w:type="dxa"/>
            <w:vAlign w:val="center"/>
          </w:tcPr>
          <w:p w14:paraId="511B8F4A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50500 00230</w:t>
            </w:r>
          </w:p>
          <w:p w14:paraId="2954EA9E" w14:textId="77777777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14:paraId="39B975FB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700" w:type="dxa"/>
            <w:vAlign w:val="center"/>
          </w:tcPr>
          <w:p w14:paraId="1AEFFC12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549,4</w:t>
            </w:r>
          </w:p>
        </w:tc>
        <w:tc>
          <w:tcPr>
            <w:tcW w:w="1623" w:type="dxa"/>
            <w:vAlign w:val="center"/>
          </w:tcPr>
          <w:p w14:paraId="03A608DF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48,9</w:t>
            </w:r>
          </w:p>
        </w:tc>
        <w:tc>
          <w:tcPr>
            <w:tcW w:w="1617" w:type="dxa"/>
            <w:vAlign w:val="center"/>
          </w:tcPr>
          <w:p w14:paraId="13AF0DAF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-0,5</w:t>
            </w:r>
          </w:p>
        </w:tc>
      </w:tr>
      <w:tr w:rsidR="003A61FB" w14:paraId="57ADAC0A" w14:textId="77777777">
        <w:tc>
          <w:tcPr>
            <w:tcW w:w="663" w:type="dxa"/>
            <w:vAlign w:val="center"/>
          </w:tcPr>
          <w:p w14:paraId="24B5A386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6" w:type="dxa"/>
            <w:vAlign w:val="center"/>
          </w:tcPr>
          <w:p w14:paraId="674F1781" w14:textId="77777777" w:rsidR="003A61FB" w:rsidRDefault="009415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по назначению, выплате, перерасчету ежемесячной доплаты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стаж работы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  <w:p w14:paraId="6045A92C" w14:textId="77777777" w:rsidR="003A61FB" w:rsidRDefault="003A61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vAlign w:val="center"/>
          </w:tcPr>
          <w:p w14:paraId="6B77D9BE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913</w:t>
            </w:r>
          </w:p>
        </w:tc>
        <w:tc>
          <w:tcPr>
            <w:tcW w:w="1134" w:type="dxa"/>
            <w:vAlign w:val="center"/>
          </w:tcPr>
          <w:p w14:paraId="6FE94947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29" w:type="dxa"/>
            <w:vAlign w:val="center"/>
          </w:tcPr>
          <w:p w14:paraId="63AD215A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50500 00240</w:t>
            </w:r>
          </w:p>
          <w:p w14:paraId="03E55D94" w14:textId="77777777" w:rsidR="003A61FB" w:rsidRDefault="003A61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14:paraId="1143AF1D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700" w:type="dxa"/>
            <w:vAlign w:val="center"/>
          </w:tcPr>
          <w:p w14:paraId="6CA1B5C9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54,3</w:t>
            </w:r>
          </w:p>
        </w:tc>
        <w:tc>
          <w:tcPr>
            <w:tcW w:w="1623" w:type="dxa"/>
            <w:vAlign w:val="center"/>
          </w:tcPr>
          <w:p w14:paraId="12C7E073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653,7</w:t>
            </w:r>
          </w:p>
        </w:tc>
        <w:tc>
          <w:tcPr>
            <w:tcW w:w="1617" w:type="dxa"/>
            <w:vAlign w:val="center"/>
          </w:tcPr>
          <w:p w14:paraId="18FA5C25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3A61FB" w14:paraId="6BBA6D9E" w14:textId="77777777">
        <w:tc>
          <w:tcPr>
            <w:tcW w:w="663" w:type="dxa"/>
          </w:tcPr>
          <w:p w14:paraId="3CADE91B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4866" w:type="dxa"/>
          </w:tcPr>
          <w:p w14:paraId="76D472BE" w14:textId="77777777" w:rsidR="003A61FB" w:rsidRDefault="009415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063" w:type="dxa"/>
          </w:tcPr>
          <w:p w14:paraId="4F42DD3B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14:paraId="532E042A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629" w:type="dxa"/>
          </w:tcPr>
          <w:p w14:paraId="27629008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8" w:type="dxa"/>
          </w:tcPr>
          <w:p w14:paraId="0B3C5568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700" w:type="dxa"/>
          </w:tcPr>
          <w:p w14:paraId="24A529BC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623" w:type="dxa"/>
          </w:tcPr>
          <w:p w14:paraId="6F3ED88D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617" w:type="dxa"/>
          </w:tcPr>
          <w:p w14:paraId="59068F75" w14:textId="77777777" w:rsidR="003A61FB" w:rsidRDefault="00941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1,1</w:t>
            </w:r>
          </w:p>
        </w:tc>
      </w:tr>
    </w:tbl>
    <w:p w14:paraId="6A0C38BD" w14:textId="77777777" w:rsidR="003A61FB" w:rsidRDefault="003A6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E98BB1" w14:textId="77777777" w:rsidR="003A61FB" w:rsidRDefault="003A61FB">
      <w:pPr>
        <w:pStyle w:val="1"/>
        <w:shd w:val="clear" w:color="auto" w:fill="FFFFFF"/>
        <w:spacing w:beforeAutospacing="0" w:after="0" w:afterAutospacing="0"/>
        <w:jc w:val="center"/>
        <w:textAlignment w:val="baseline"/>
        <w:rPr>
          <w:spacing w:val="2"/>
          <w:sz w:val="26"/>
          <w:szCs w:val="26"/>
        </w:rPr>
      </w:pPr>
    </w:p>
    <w:p w14:paraId="27A0E7C2" w14:textId="77777777" w:rsidR="003A61FB" w:rsidRDefault="003A61FB">
      <w:pPr>
        <w:pStyle w:val="1"/>
        <w:shd w:val="clear" w:color="auto" w:fill="FFFFFF"/>
        <w:spacing w:beforeAutospacing="0" w:after="0" w:afterAutospacing="0"/>
        <w:jc w:val="center"/>
        <w:textAlignment w:val="baseline"/>
        <w:rPr>
          <w:spacing w:val="2"/>
          <w:sz w:val="26"/>
          <w:szCs w:val="26"/>
        </w:rPr>
      </w:pPr>
    </w:p>
    <w:p w14:paraId="62E7CB07" w14:textId="77777777" w:rsidR="003A61FB" w:rsidRDefault="003A61FB">
      <w:pPr>
        <w:pStyle w:val="1"/>
        <w:shd w:val="clear" w:color="auto" w:fill="FFFFFF"/>
        <w:spacing w:beforeAutospacing="0" w:after="0" w:afterAutospacing="0"/>
        <w:jc w:val="center"/>
        <w:textAlignment w:val="baseline"/>
        <w:rPr>
          <w:spacing w:val="2"/>
          <w:sz w:val="26"/>
          <w:szCs w:val="26"/>
        </w:rPr>
      </w:pPr>
    </w:p>
    <w:p w14:paraId="7164A54E" w14:textId="77777777" w:rsidR="003A61FB" w:rsidRDefault="003A6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A61FB">
      <w:pgSz w:w="16838" w:h="11906" w:orient="landscape"/>
      <w:pgMar w:top="709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1FB"/>
    <w:rsid w:val="003A61FB"/>
    <w:rsid w:val="0094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5702"/>
  <w15:docId w15:val="{FF6C2BDB-1276-4FE7-8F05-8DEAB29E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07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352D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DE707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902AFA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headertext">
    <w:name w:val="headertext"/>
    <w:basedOn w:val="a"/>
    <w:qFormat/>
    <w:rsid w:val="00DE70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29C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02AF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35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D3FB-B9BD-4CBF-840E-596B1778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dc:description/>
  <cp:lastModifiedBy>Sergei Kuzmin</cp:lastModifiedBy>
  <cp:revision>2</cp:revision>
  <cp:lastPrinted>2021-09-27T09:07:00Z</cp:lastPrinted>
  <dcterms:created xsi:type="dcterms:W3CDTF">2021-11-15T05:42:00Z</dcterms:created>
  <dcterms:modified xsi:type="dcterms:W3CDTF">2021-11-15T05:42:00Z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